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21DFD" w14:textId="552AAE35" w:rsidR="00A716B5" w:rsidRPr="00A716B5" w:rsidRDefault="00A716B5" w:rsidP="00A716B5">
      <w:pPr>
        <w:jc w:val="center"/>
        <w:rPr>
          <w:b/>
          <w:bCs/>
        </w:rPr>
      </w:pPr>
      <w:r w:rsidRPr="00A716B5">
        <w:rPr>
          <w:b/>
          <w:bCs/>
        </w:rPr>
        <w:t>ZAŁĄCZNIK NR 1</w:t>
      </w:r>
      <w:r w:rsidR="00A3632B">
        <w:rPr>
          <w:b/>
          <w:bCs/>
        </w:rPr>
        <w:t>8</w:t>
      </w:r>
      <w:r w:rsidRPr="00A716B5">
        <w:rPr>
          <w:b/>
          <w:bCs/>
        </w:rPr>
        <w:t xml:space="preserve"> – UMOWA POWIERZENIA PRZETWARZANIA DANYCH OSOBOWYCH (UPP)</w:t>
      </w:r>
    </w:p>
    <w:p w14:paraId="2294B936" w14:textId="77777777" w:rsidR="00A716B5" w:rsidRPr="00A20323" w:rsidRDefault="00A716B5" w:rsidP="00C81A32">
      <w:pPr>
        <w:jc w:val="center"/>
      </w:pPr>
    </w:p>
    <w:p w14:paraId="7322E28F" w14:textId="2FECE40C" w:rsidR="00941164" w:rsidRDefault="00F3232F">
      <w:pPr>
        <w:spacing w:after="0"/>
        <w:jc w:val="center"/>
      </w:pPr>
      <w:r>
        <w:rPr>
          <w:rFonts w:cs="Calibri"/>
          <w:b/>
          <w:bCs/>
          <w:sz w:val="24"/>
          <w:szCs w:val="24"/>
        </w:rPr>
        <w:t xml:space="preserve">UMOWA NR </w:t>
      </w:r>
      <w:r w:rsidR="00314725">
        <w:rPr>
          <w:rFonts w:cs="Calibri"/>
          <w:b/>
          <w:bCs/>
          <w:sz w:val="24"/>
          <w:szCs w:val="24"/>
        </w:rPr>
        <w:t>CS/</w:t>
      </w:r>
      <w:r w:rsidR="00A716B5">
        <w:rPr>
          <w:rFonts w:cs="Calibri"/>
          <w:b/>
          <w:bCs/>
          <w:sz w:val="24"/>
          <w:szCs w:val="24"/>
        </w:rPr>
        <w:t>UPP</w:t>
      </w:r>
      <w:r>
        <w:rPr>
          <w:rFonts w:cs="Calibri"/>
          <w:b/>
          <w:bCs/>
          <w:sz w:val="24"/>
          <w:szCs w:val="24"/>
        </w:rPr>
        <w:t>/</w:t>
      </w:r>
      <w:r w:rsidR="001247E5">
        <w:rPr>
          <w:rFonts w:cs="Calibri"/>
          <w:b/>
          <w:bCs/>
          <w:sz w:val="24"/>
          <w:szCs w:val="24"/>
        </w:rPr>
        <w:t>__</w:t>
      </w:r>
      <w:r w:rsidR="00654D3D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>/202</w:t>
      </w:r>
      <w:r w:rsidR="00CE7A9E">
        <w:rPr>
          <w:rFonts w:cs="Calibri"/>
          <w:b/>
          <w:bCs/>
          <w:sz w:val="24"/>
          <w:szCs w:val="24"/>
        </w:rPr>
        <w:t>6</w:t>
      </w:r>
    </w:p>
    <w:p w14:paraId="1C5A7892" w14:textId="77777777" w:rsidR="00941164" w:rsidRDefault="00941164">
      <w:pPr>
        <w:spacing w:after="0"/>
        <w:jc w:val="center"/>
        <w:rPr>
          <w:rFonts w:cs="Calibri"/>
          <w:b/>
          <w:bCs/>
          <w:sz w:val="24"/>
          <w:szCs w:val="24"/>
        </w:rPr>
      </w:pPr>
    </w:p>
    <w:p w14:paraId="06529304" w14:textId="029EF86D" w:rsidR="000F50E9" w:rsidRDefault="00FA1567" w:rsidP="000F50E9">
      <w:pPr>
        <w:spacing w:after="0"/>
        <w:jc w:val="both"/>
      </w:pPr>
      <w:r w:rsidRPr="00FA1567">
        <w:rPr>
          <w:rFonts w:cs="Calibri"/>
        </w:rPr>
        <w:t>zawarta w dniu podpisania niniejszej UPP przez ostatnią ze Stron w Szczytnej, pomiędzy</w:t>
      </w:r>
      <w:r w:rsidR="00F252EF" w:rsidRPr="00F252EF">
        <w:rPr>
          <w:rFonts w:cs="Calibri"/>
        </w:rPr>
        <w:t>:</w:t>
      </w:r>
    </w:p>
    <w:p w14:paraId="28DEAD69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1AF6E63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/>
        </w:rPr>
      </w:pPr>
      <w:r>
        <w:rPr>
          <w:rFonts w:ascii="Calibri" w:hAnsi="Calibri" w:cs="Calibri"/>
          <w:b/>
          <w:bCs/>
          <w:sz w:val="22"/>
          <w:szCs w:val="22"/>
        </w:rPr>
        <w:t>Gminą Szczytna</w:t>
      </w:r>
      <w:r>
        <w:rPr>
          <w:rFonts w:ascii="Calibri" w:hAnsi="Calibri" w:cs="Calibri"/>
          <w:sz w:val="22"/>
          <w:szCs w:val="22"/>
        </w:rPr>
        <w:t xml:space="preserve"> z siedzibą przy ul. Wolności 42, 57-330 Szczytna, NIP: 8831678051, REGON: 890718171 reprezentowaną przez: </w:t>
      </w:r>
    </w:p>
    <w:p w14:paraId="422A8C41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b/>
          <w:bCs/>
          <w:sz w:val="22"/>
          <w:szCs w:val="22"/>
        </w:rPr>
        <w:t>Krzysztofa Żaka</w:t>
      </w:r>
      <w:r>
        <w:rPr>
          <w:rFonts w:ascii="Calibri" w:hAnsi="Calibri" w:cs="Calibri"/>
          <w:sz w:val="22"/>
          <w:szCs w:val="22"/>
        </w:rPr>
        <w:t xml:space="preserve"> – Burmistrza Szczytnej, </w:t>
      </w:r>
    </w:p>
    <w:p w14:paraId="75536D9B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przy kontrasygnacie: </w:t>
      </w:r>
    </w:p>
    <w:p w14:paraId="1CA0DBE8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b/>
          <w:bCs/>
          <w:sz w:val="22"/>
          <w:szCs w:val="22"/>
        </w:rPr>
        <w:t>Barbary Kwiecień</w:t>
      </w:r>
      <w:r>
        <w:rPr>
          <w:rFonts w:ascii="Calibri" w:hAnsi="Calibri" w:cs="Calibri"/>
          <w:sz w:val="22"/>
          <w:szCs w:val="22"/>
        </w:rPr>
        <w:t xml:space="preserve"> – Skarbnika Szczytnej, </w:t>
      </w:r>
    </w:p>
    <w:p w14:paraId="62210BDA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zwaną dalej </w:t>
      </w:r>
      <w:r>
        <w:rPr>
          <w:rFonts w:ascii="Calibri" w:hAnsi="Calibri" w:cs="Calibri"/>
          <w:b/>
          <w:bCs/>
          <w:sz w:val="22"/>
          <w:szCs w:val="22"/>
        </w:rPr>
        <w:t>„Zamawiającym”</w:t>
      </w:r>
      <w:r>
        <w:rPr>
          <w:rFonts w:ascii="Calibri" w:hAnsi="Calibri" w:cs="Calibri"/>
          <w:sz w:val="22"/>
          <w:szCs w:val="22"/>
        </w:rPr>
        <w:t>,</w:t>
      </w:r>
    </w:p>
    <w:p w14:paraId="28D0895B" w14:textId="77777777" w:rsidR="000F50E9" w:rsidRDefault="000F50E9" w:rsidP="000F50E9">
      <w:pPr>
        <w:pStyle w:val="NormalnyWeb1"/>
        <w:spacing w:before="0" w:after="0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a </w:t>
      </w:r>
    </w:p>
    <w:p w14:paraId="633235C2" w14:textId="77777777" w:rsidR="000F50E9" w:rsidRDefault="000F50E9" w:rsidP="000F50E9">
      <w:pPr>
        <w:pStyle w:val="Tekstpodstawowy"/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18453B2E" w14:textId="77777777" w:rsidR="000F50E9" w:rsidRDefault="000F50E9" w:rsidP="000F50E9">
      <w:pPr>
        <w:pStyle w:val="Tekstpodstawowy"/>
        <w:spacing w:after="0"/>
        <w:jc w:val="both"/>
        <w:rPr>
          <w:rFonts w:cs="Calibri"/>
          <w:b/>
          <w:bCs/>
        </w:rPr>
      </w:pPr>
    </w:p>
    <w:p w14:paraId="32FC162C" w14:textId="77777777" w:rsidR="000F50E9" w:rsidRDefault="000F50E9" w:rsidP="000F50E9">
      <w:pPr>
        <w:pStyle w:val="Tekstpodstawowy"/>
        <w:spacing w:after="0"/>
        <w:jc w:val="both"/>
      </w:pPr>
      <w:r>
        <w:rPr>
          <w:rFonts w:cs="Calibr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0BEB743F" w14:textId="77777777" w:rsidR="000F50E9" w:rsidRDefault="000F50E9" w:rsidP="000F50E9">
      <w:pPr>
        <w:pStyle w:val="Tekstpodstawowy"/>
        <w:spacing w:after="0"/>
        <w:jc w:val="both"/>
      </w:pPr>
    </w:p>
    <w:p w14:paraId="62D75BB1" w14:textId="77777777" w:rsidR="000F50E9" w:rsidRDefault="000F50E9" w:rsidP="000F50E9">
      <w:pPr>
        <w:pStyle w:val="Tekstpodstawowy"/>
        <w:spacing w:after="0"/>
        <w:jc w:val="both"/>
      </w:pPr>
      <w:r>
        <w:rPr>
          <w:rFonts w:cs="Calibr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7AE58816" w14:textId="77777777" w:rsidR="000F50E9" w:rsidRDefault="000F50E9" w:rsidP="000F50E9">
      <w:pPr>
        <w:pStyle w:val="Tekstpodstawowy"/>
        <w:spacing w:after="0"/>
        <w:jc w:val="both"/>
      </w:pPr>
    </w:p>
    <w:p w14:paraId="487A21CE" w14:textId="1F281420" w:rsidR="000F50E9" w:rsidRDefault="000F50E9" w:rsidP="000F50E9">
      <w:pPr>
        <w:pStyle w:val="Tekstpodstawowy"/>
        <w:spacing w:after="0"/>
      </w:pPr>
      <w:r>
        <w:t>zwaną dalej „Podmiotem przetwarzającym” lub „Procesorem”</w:t>
      </w:r>
      <w:bookmarkStart w:id="0" w:name="Bookmark"/>
      <w:bookmarkEnd w:id="0"/>
      <w:r>
        <w:t>,</w:t>
      </w:r>
      <w:r w:rsidR="00730DA1">
        <w:t xml:space="preserve"> </w:t>
      </w:r>
      <w:r>
        <w:t>zwanymi łącznie „Stronami”, zawiera się niniejszą umowę powierzenia przetwarzania danych osobowych (UPP) na podstawie art. 28 ust. 3 RODO w związku z realizacją umowy głównej nr «NR_UMOWY».</w:t>
      </w:r>
    </w:p>
    <w:p w14:paraId="050E10C4" w14:textId="77777777" w:rsidR="00730DA1" w:rsidRDefault="00730DA1" w:rsidP="000F50E9">
      <w:pPr>
        <w:pStyle w:val="Tekstpodstawowy"/>
        <w:spacing w:after="0"/>
      </w:pPr>
    </w:p>
    <w:p w14:paraId="106FBAB3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1. Przedmiot, czas trwania i charakter przetwarzania</w:t>
      </w:r>
    </w:p>
    <w:p w14:paraId="21713AB3" w14:textId="7F6AF99E" w:rsidR="008643E0" w:rsidRDefault="00D80329" w:rsidP="000F50E9">
      <w:pPr>
        <w:pStyle w:val="Akapitzlist"/>
        <w:numPr>
          <w:ilvl w:val="0"/>
          <w:numId w:val="18"/>
        </w:numPr>
      </w:pPr>
      <w:r w:rsidRPr="00D80329">
        <w:t>Niniejsza UPP znajduje zastosowanie w przypadku uruchomienia trybu dostępu określonego w §6 umowy głównej</w:t>
      </w:r>
      <w:r w:rsidR="008643E0" w:rsidRPr="008643E0">
        <w:t>.</w:t>
      </w:r>
    </w:p>
    <w:p w14:paraId="60B8BB16" w14:textId="4EEE2794" w:rsidR="008450CC" w:rsidRDefault="008450CC" w:rsidP="000F50E9">
      <w:pPr>
        <w:pStyle w:val="Akapitzlist"/>
        <w:numPr>
          <w:ilvl w:val="0"/>
          <w:numId w:val="18"/>
        </w:numPr>
      </w:pPr>
      <w:r w:rsidRPr="008450CC">
        <w:t>Dostęp do danych/środowisk. Udzielenie Procesorowi jakiegokolwiek dostępu do danych osobowych lub do środowisk/zasobów mogących zawierać dane osobowe następuje wyłącznie po zawarciu niniejszej UPP oraz po uprzednim, udokumentowanym dopuszczeniu dostępu przez Administratora (np. w formie pisemnej lub e-mail), określającym co najmniej zakres i okres dostępu oraz osoby upoważnione. Do czasu spełnienia tych warunków Procesor nie jest uprawniony do uzyskania takiego dostępu ani do przetwarzania danych osobowych.</w:t>
      </w:r>
    </w:p>
    <w:p w14:paraId="5CF3CBD9" w14:textId="6D6A34D4" w:rsidR="000F50E9" w:rsidRDefault="008450CC" w:rsidP="000F50E9">
      <w:pPr>
        <w:pStyle w:val="Akapitzlist"/>
        <w:numPr>
          <w:ilvl w:val="0"/>
          <w:numId w:val="18"/>
        </w:numPr>
      </w:pPr>
      <w:r w:rsidRPr="008450CC">
        <w:t>Administrator powierza, a Procesor przyjmuje do przetwarzania dane osobowe wyłącznie w zakresie i przez czas niezbędny do wykonania umowy głównej, w szczególności usług: audytu cyberbezpieczeństwa, aktualizacji i wdrożenia SZBI, szkoleń z cyberbezpieczeństwa oraz dostawy/konfiguracji sprzętu IT – w zakresie, w jakim jest to konieczne i na udokumentowane polecenie Administratora</w:t>
      </w:r>
      <w:r w:rsidR="000F50E9">
        <w:t>.</w:t>
      </w:r>
    </w:p>
    <w:p w14:paraId="52C1C6B0" w14:textId="3E925326" w:rsidR="000F50E9" w:rsidRDefault="000F50E9" w:rsidP="000F50E9">
      <w:pPr>
        <w:pStyle w:val="Akapitzlist"/>
        <w:numPr>
          <w:ilvl w:val="0"/>
          <w:numId w:val="18"/>
        </w:numPr>
      </w:pPr>
      <w:r>
        <w:t>Czas trwania powierzenia obejmuje okres obowiązywania umowy głównej oraz, jeśli dotyczy, okres rękojmi/gwarancji i rozliczeń, nie dłużej jednak niż do upływu terminów archiwizacji wynikających z prawa powszechnie obowiązującego.</w:t>
      </w:r>
      <w:r w:rsidR="00E7060B">
        <w:t xml:space="preserve"> </w:t>
      </w:r>
      <w:r w:rsidR="00E7060B" w:rsidRPr="00E7060B">
        <w:t>Faktyczne przetwarzanie i dostęp Procesora do danych/środowisk mogących zawierać dane osobowe są każdorazowo ograniczone do zakresu i okresu wskazanego w udokumentowanej decyzji ADO o dopuszczeniu dostępu.</w:t>
      </w:r>
    </w:p>
    <w:p w14:paraId="24DAED91" w14:textId="2A7E8504" w:rsidR="000F50E9" w:rsidRDefault="000F50E9" w:rsidP="000F50E9">
      <w:pPr>
        <w:pStyle w:val="Akapitzlist"/>
        <w:numPr>
          <w:ilvl w:val="0"/>
          <w:numId w:val="18"/>
        </w:numPr>
      </w:pPr>
      <w:r>
        <w:t>Charakter czynności przetwarzania: gromadzenie, utrwalanie, przeglądanie, organizowanie, porządkowanie, przechowywanie, ograniczanie, usuwanie lub niszczenie – w zakresie wynikającym z Instrukcji ADO i OPZ.</w:t>
      </w:r>
    </w:p>
    <w:p w14:paraId="7DD899A8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lastRenderedPageBreak/>
        <w:t>§ 2. Zakres i kategorie danych, kategorie osób</w:t>
      </w:r>
    </w:p>
    <w:p w14:paraId="798BC348" w14:textId="0CABAFA2" w:rsidR="000F50E9" w:rsidRDefault="000F50E9" w:rsidP="000F50E9">
      <w:pPr>
        <w:pStyle w:val="Akapitzlist"/>
        <w:numPr>
          <w:ilvl w:val="0"/>
          <w:numId w:val="19"/>
        </w:numPr>
      </w:pPr>
      <w:r>
        <w:t>Kategorie osób: pracownicy i współpracownicy Administratora, uczestnicy szkoleń, użytkownicy systemów informatycznych ADO, osoby kontaktowe po stronie Dostawców, inne osoby, których dane znajdują się w materiałach poddawanych audytowi (w miarę konieczności).</w:t>
      </w:r>
    </w:p>
    <w:p w14:paraId="01CF87BD" w14:textId="551778B7" w:rsidR="000F50E9" w:rsidRDefault="000F50E9" w:rsidP="000F50E9">
      <w:pPr>
        <w:pStyle w:val="Akapitzlist"/>
        <w:numPr>
          <w:ilvl w:val="0"/>
          <w:numId w:val="19"/>
        </w:numPr>
      </w:pPr>
      <w:r>
        <w:t>Rodzaje danych: dane identyfikacyjne (imię i nazwisko), służbowe dane kontaktowe (e-mail, telefon), dane organizacyjne (komórka/jednostka), dane eksploatacyjne z systemów (identyfikatory użytkowników, znaczniki czasu, adresy IP) – w możliwie najmniejszym zakresie, przy pierwszeństwie stosowania anonimizacji/pseudonimizacji.</w:t>
      </w:r>
    </w:p>
    <w:p w14:paraId="11970467" w14:textId="744F04AA" w:rsidR="000F50E9" w:rsidRDefault="000F50E9" w:rsidP="000F50E9">
      <w:pPr>
        <w:pStyle w:val="Akapitzlist"/>
        <w:numPr>
          <w:ilvl w:val="0"/>
          <w:numId w:val="19"/>
        </w:numPr>
      </w:pPr>
      <w:r>
        <w:t>Zakres szczegółowy, cel i źródło danych określa Załącznik A do niniejszej UPP.</w:t>
      </w:r>
    </w:p>
    <w:p w14:paraId="6990935F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3. Instrukcje ADO i cel przetwarzania</w:t>
      </w:r>
    </w:p>
    <w:p w14:paraId="6A729DF1" w14:textId="32AB62AF" w:rsidR="000F50E9" w:rsidRDefault="000F50E9" w:rsidP="000F50E9">
      <w:pPr>
        <w:pStyle w:val="Akapitzlist"/>
        <w:numPr>
          <w:ilvl w:val="0"/>
          <w:numId w:val="20"/>
        </w:numPr>
      </w:pPr>
      <w:r>
        <w:t>Procesor przetwarza dane wyłącznie na udokumentowane polecenie ADO, w celach i w granicach określonych umową główną, OPZ, niniejszą UPP oraz instrukcjami ADO.</w:t>
      </w:r>
    </w:p>
    <w:p w14:paraId="4A221F1C" w14:textId="2986BACE" w:rsidR="000F50E9" w:rsidRDefault="000F50E9" w:rsidP="000F50E9">
      <w:pPr>
        <w:pStyle w:val="Akapitzlist"/>
        <w:numPr>
          <w:ilvl w:val="0"/>
          <w:numId w:val="20"/>
        </w:numPr>
      </w:pPr>
      <w:r>
        <w:t>Zakazane jest wykorzystywanie danych do jakichkolwiek celów własnych Procesora, w tym budowy modeli, świadczenia usług na rzecz innych klientów, celów marketingowych lub statystycznych niezwiązanych z realizacją umowy.</w:t>
      </w:r>
    </w:p>
    <w:p w14:paraId="1A1058FB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4. Poufność i personel Procesora</w:t>
      </w:r>
    </w:p>
    <w:p w14:paraId="00324691" w14:textId="5424ACAD" w:rsidR="000F50E9" w:rsidRDefault="000F50E9" w:rsidP="000F50E9">
      <w:pPr>
        <w:pStyle w:val="Akapitzlist"/>
        <w:numPr>
          <w:ilvl w:val="0"/>
          <w:numId w:val="21"/>
        </w:numPr>
      </w:pPr>
      <w:r>
        <w:t>Procesor zapewnia, że do danych mają dostęp wyłącznie osoby posiadające ważne, imienne upoważnienia, zobowiązane do zachowania poufności oraz przeszkolone z zakresu ochrony danych i bezpieczeństwa informacji.</w:t>
      </w:r>
    </w:p>
    <w:p w14:paraId="23C9D0B1" w14:textId="4F3116BC" w:rsidR="000F50E9" w:rsidRDefault="000F50E9" w:rsidP="000F50E9">
      <w:pPr>
        <w:pStyle w:val="Akapitzlist"/>
        <w:numPr>
          <w:ilvl w:val="0"/>
          <w:numId w:val="21"/>
        </w:numPr>
      </w:pPr>
      <w:r>
        <w:t>Procesor prowadzi ewidencję osób upoważnionych i udostępnia ją ADO na każde żądanie.</w:t>
      </w:r>
    </w:p>
    <w:p w14:paraId="1057C9A2" w14:textId="77777777" w:rsidR="000F50E9" w:rsidRPr="00A716B5" w:rsidRDefault="000F50E9" w:rsidP="000F50E9">
      <w:pPr>
        <w:jc w:val="center"/>
        <w:rPr>
          <w:bCs/>
        </w:rPr>
      </w:pPr>
      <w:r>
        <w:t xml:space="preserve">§ 5. Środki techniczne i organizacyjne </w:t>
      </w:r>
    </w:p>
    <w:p w14:paraId="12DEF79D" w14:textId="79E546EE" w:rsidR="000F50E9" w:rsidRDefault="000F50E9" w:rsidP="000F50E9">
      <w:pPr>
        <w:pStyle w:val="Akapitzlist"/>
        <w:numPr>
          <w:ilvl w:val="0"/>
          <w:numId w:val="22"/>
        </w:numPr>
      </w:pPr>
      <w:r>
        <w:t>Usunięcie lub zwrot danych oraz kopii roboczych w terminie 14 dni od zakończenia przetwarzania, chyba że prawo wymaga dłuższej retencji</w:t>
      </w:r>
      <w:r w:rsidR="00D90971">
        <w:t xml:space="preserve"> lub wynika to </w:t>
      </w:r>
      <w:r w:rsidR="00D90971" w:rsidRPr="00D90971">
        <w:t>z Załącznika A/OPZ</w:t>
      </w:r>
      <w:r>
        <w:t>.</w:t>
      </w:r>
    </w:p>
    <w:p w14:paraId="5F2B020B" w14:textId="73D5B777" w:rsidR="00A61015" w:rsidRDefault="00A61015" w:rsidP="000F50E9">
      <w:pPr>
        <w:pStyle w:val="Akapitzlist"/>
        <w:numPr>
          <w:ilvl w:val="0"/>
          <w:numId w:val="22"/>
        </w:numPr>
      </w:pPr>
      <w:r w:rsidRPr="00A61015">
        <w:t>Przekazywanie danych poza EOG jest niedozwolone bez uprzedniej, pisemnej zgody ADO i wdrożenia odpowiednich zabezpieczeń (np. SCC) oraz oceny transferu (TIA).</w:t>
      </w:r>
    </w:p>
    <w:p w14:paraId="0ECDF883" w14:textId="06C9877F" w:rsidR="000F50E9" w:rsidRDefault="00FF376A" w:rsidP="000F50E9">
      <w:pPr>
        <w:pStyle w:val="Akapitzlist"/>
        <w:numPr>
          <w:ilvl w:val="0"/>
          <w:numId w:val="22"/>
        </w:numPr>
      </w:pPr>
      <w:r w:rsidRPr="00FF376A">
        <w:t xml:space="preserve">Angażowanie podprzetwarzających co do zasady wymaga uprzedniej zgody ADO, </w:t>
      </w:r>
      <w:r w:rsidR="00092B7D" w:rsidRPr="00092B7D">
        <w:t>z zastrzeżeniem trybu awaryjnego określonego w Załączniku B</w:t>
      </w:r>
      <w:r w:rsidR="000F50E9">
        <w:t>.</w:t>
      </w:r>
    </w:p>
    <w:p w14:paraId="0EC36F18" w14:textId="4D7B9513" w:rsidR="000F50E9" w:rsidRDefault="000F50E9" w:rsidP="000F50E9">
      <w:pPr>
        <w:pStyle w:val="Akapitzlist"/>
        <w:numPr>
          <w:ilvl w:val="0"/>
          <w:numId w:val="22"/>
        </w:numPr>
      </w:pPr>
      <w:r>
        <w:t>Wymiana plików z ADO wyłącznie kanałami szyfrowanymi (SFTP/HTTPS) w repozytoriach zatwierdzonych przez ADO; zakaz używania prywatnych chmur/nośników.</w:t>
      </w:r>
    </w:p>
    <w:p w14:paraId="7A89935A" w14:textId="41758A44" w:rsidR="000F50E9" w:rsidRDefault="000F50E9" w:rsidP="000F50E9">
      <w:pPr>
        <w:pStyle w:val="Akapitzlist"/>
        <w:numPr>
          <w:ilvl w:val="0"/>
          <w:numId w:val="22"/>
        </w:numPr>
      </w:pPr>
      <w:r>
        <w:t>Backupy danych, jeżeli są czasowo przetwarzane: szyfrowane; test odtworzenia co najmniej raz na 6 miesięcy; retencja tylko tak długo, jak to niezbędne.</w:t>
      </w:r>
    </w:p>
    <w:p w14:paraId="0AE6E746" w14:textId="7F58AB7A" w:rsidR="000F50E9" w:rsidRDefault="000F50E9" w:rsidP="000F50E9">
      <w:pPr>
        <w:pStyle w:val="Akapitzlist"/>
        <w:numPr>
          <w:ilvl w:val="0"/>
          <w:numId w:val="22"/>
        </w:numPr>
      </w:pPr>
      <w:r>
        <w:t>Rejestrowanie zdarzeń bezpieczeństwa i administracyjnych; minimalna retencja logów 90 dni.</w:t>
      </w:r>
    </w:p>
    <w:p w14:paraId="57431A68" w14:textId="207323CB" w:rsidR="000F50E9" w:rsidRDefault="000F50E9" w:rsidP="000F50E9">
      <w:pPr>
        <w:pStyle w:val="Akapitzlist"/>
        <w:numPr>
          <w:ilvl w:val="0"/>
          <w:numId w:val="22"/>
        </w:numPr>
      </w:pPr>
      <w:r>
        <w:t>Aktualizacje bezpieczeństwa: poprawki krytyczne wdrażane nie później niż w 14 dni od publikacji.</w:t>
      </w:r>
    </w:p>
    <w:p w14:paraId="4458E78A" w14:textId="7B06DE50" w:rsidR="000F50E9" w:rsidRDefault="000F50E9" w:rsidP="000F50E9">
      <w:pPr>
        <w:pStyle w:val="Akapitzlist"/>
        <w:numPr>
          <w:ilvl w:val="0"/>
          <w:numId w:val="22"/>
        </w:numPr>
      </w:pPr>
      <w:r>
        <w:t>Szyfrowanie danych w spoczynku (AES-256) i w transmisji (TLS 1.2 lub nowszy).</w:t>
      </w:r>
    </w:p>
    <w:p w14:paraId="21B77838" w14:textId="732BCEA8" w:rsidR="000F50E9" w:rsidRDefault="000F50E9" w:rsidP="000F50E9">
      <w:pPr>
        <w:pStyle w:val="Akapitzlist"/>
        <w:numPr>
          <w:ilvl w:val="0"/>
          <w:numId w:val="22"/>
        </w:numPr>
      </w:pPr>
      <w:r>
        <w:t>Uwierzytelnianie wieloskładnikowe (MFA) dla wszystkich dostępów administracyjnych i zdalnych.</w:t>
      </w:r>
    </w:p>
    <w:p w14:paraId="168BC314" w14:textId="17E394B8" w:rsidR="000F50E9" w:rsidRDefault="000F50E9" w:rsidP="000F50E9">
      <w:pPr>
        <w:pStyle w:val="Akapitzlist"/>
        <w:numPr>
          <w:ilvl w:val="0"/>
          <w:numId w:val="22"/>
        </w:numPr>
      </w:pPr>
      <w:r>
        <w:t>Kontrola dostępu wg zasady najmniejszych uprawnień (RBAC) oraz przegląd uprawnień co najmniej raz na 3 miesiące.</w:t>
      </w:r>
    </w:p>
    <w:p w14:paraId="0AC79BBA" w14:textId="77777777" w:rsidR="000F50E9" w:rsidRDefault="000F50E9" w:rsidP="000F50E9">
      <w:pPr>
        <w:pStyle w:val="Akapitzlist"/>
        <w:numPr>
          <w:ilvl w:val="0"/>
          <w:numId w:val="23"/>
        </w:numPr>
      </w:pPr>
      <w:r>
        <w:t>Minimalne środki techniczne i organizacyjne, które Procesor stosuje podczas realizacji umowy, obejmują co najmniej:</w:t>
      </w:r>
    </w:p>
    <w:p w14:paraId="26ADF0A9" w14:textId="47FA22F7" w:rsidR="000F50E9" w:rsidRDefault="000F50E9" w:rsidP="000F50E9">
      <w:r>
        <w:lastRenderedPageBreak/>
        <w:t>Procesor stosuje odpowiednie środki techniczne i organizacyjne, zapewniające stopień bezpieczeństwa odpowiadający ryzyku, w szczególności: kontrolę dostępu, szyfrowanie danych w spoczynku i w transmisji, uwierzytelnianie wieloskładnikowe (MFA) dla dostępu administracyjnego, minimalizację uprawnień, rejestrowanie i monitorowanie dostępu, backupy oraz testowanie skuteczności środków.</w:t>
      </w:r>
    </w:p>
    <w:p w14:paraId="79F63ECF" w14:textId="302BE86B" w:rsidR="000F50E9" w:rsidRDefault="000F50E9" w:rsidP="000F50E9">
      <w:pPr>
        <w:pStyle w:val="Akapitzlist"/>
        <w:numPr>
          <w:ilvl w:val="0"/>
          <w:numId w:val="23"/>
        </w:numPr>
      </w:pPr>
      <w:r>
        <w:t xml:space="preserve">Minimalny zestaw środków określa </w:t>
      </w:r>
      <w:r w:rsidR="00AF3966" w:rsidRPr="00AF3966">
        <w:t xml:space="preserve">Załącznik A </w:t>
      </w:r>
      <w:r>
        <w:t>do niniejszej UPP.</w:t>
      </w:r>
    </w:p>
    <w:p w14:paraId="76D48CF9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6. Podprzetwarzający</w:t>
      </w:r>
    </w:p>
    <w:p w14:paraId="53311D60" w14:textId="1058C173" w:rsidR="000F50E9" w:rsidRDefault="00EF0165" w:rsidP="000F50E9">
      <w:pPr>
        <w:pStyle w:val="Akapitzlist"/>
        <w:numPr>
          <w:ilvl w:val="0"/>
          <w:numId w:val="24"/>
        </w:numPr>
      </w:pPr>
      <w:r w:rsidRPr="00EF0165">
        <w:t>Procesor może korzystać z podprzetwarzających wyłącznie za uprzednią zgodą ADO (indywidualną lub ogólną z prawem sprzeciwu). Procesor odpowiada za działania podprzetwarzających jak za własne. W sytuacjach nagłych dopuszcza się zastosowanie trybu awaryjnego 48h na zasadach i w procedurze określonej w Załączniku B; postanowienie to nie wyłącza prawa sprzeciwu ADO</w:t>
      </w:r>
      <w:r w:rsidR="00CE7D50" w:rsidRPr="00CE7D50">
        <w:t>.</w:t>
      </w:r>
    </w:p>
    <w:p w14:paraId="1E40BB87" w14:textId="3FB122C9" w:rsidR="000F50E9" w:rsidRDefault="000F50E9" w:rsidP="000F50E9">
      <w:pPr>
        <w:pStyle w:val="Akapitzlist"/>
        <w:numPr>
          <w:ilvl w:val="0"/>
          <w:numId w:val="24"/>
        </w:numPr>
      </w:pPr>
      <w:r>
        <w:t>Procesor zapewnia, aby na podprzetwarzającego nałożono te same obowiązki ochrony danych, jakie przewidziano w niniejszej UPP, w szczególności w zakresie poufności, bezpieczeństwa, zgłaszania naruszeń, audytu oraz usuwania/zwrotu danych.</w:t>
      </w:r>
    </w:p>
    <w:p w14:paraId="3466E0BE" w14:textId="54E464B4" w:rsidR="000F50E9" w:rsidRDefault="000F50E9" w:rsidP="000F50E9">
      <w:pPr>
        <w:pStyle w:val="Akapitzlist"/>
        <w:numPr>
          <w:ilvl w:val="0"/>
          <w:numId w:val="24"/>
        </w:numPr>
      </w:pPr>
      <w:r>
        <w:t>Wykaz zatwierdzonych podprzetwarzających prowadzi Procesor i przekazuje ADO na żądanie; wzór wykazu stanowi Załącznik B.</w:t>
      </w:r>
    </w:p>
    <w:p w14:paraId="69C8A36D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7. Transfery danych poza EOG</w:t>
      </w:r>
    </w:p>
    <w:p w14:paraId="51327499" w14:textId="473AAE63" w:rsidR="000F50E9" w:rsidRDefault="000F50E9" w:rsidP="000F50E9">
      <w:pPr>
        <w:pStyle w:val="Akapitzlist"/>
        <w:numPr>
          <w:ilvl w:val="0"/>
          <w:numId w:val="25"/>
        </w:numPr>
      </w:pPr>
      <w:r>
        <w:t>Przekazywanie danych osobowych poza Europejski Obszar Gospodarczy lub do organizacji międzynarodowej wymaga uprzedniej, pisemnej zgody ADO oraz zastosowania odpowiednich zabezpieczeń wymaganych przez RODO (np. standardowych klauzul umownych – SCC) wraz z oceną transferu (TIA).</w:t>
      </w:r>
    </w:p>
    <w:p w14:paraId="17AFEFEB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8. Naruszenia ochrony danych i incydenty bezpieczeństwa</w:t>
      </w:r>
    </w:p>
    <w:p w14:paraId="5393D825" w14:textId="7571AA7D" w:rsidR="000F50E9" w:rsidRDefault="000F50E9" w:rsidP="000F50E9">
      <w:pPr>
        <w:pStyle w:val="Akapitzlist"/>
        <w:numPr>
          <w:ilvl w:val="0"/>
          <w:numId w:val="26"/>
        </w:numPr>
      </w:pPr>
      <w:r>
        <w:t>Procesor niezwłocznie, nie później niż w ciągu 24 godzin od stwierdzenia naruszenia ochrony danych osobowych lub poważnego incydentu bezpieczeństwa zagrażającego danym osobowym, zgłasza ten fakt ADO i przekazuje wymagane informacje zgodnie z art. 33 RODO.</w:t>
      </w:r>
    </w:p>
    <w:p w14:paraId="69D7F21C" w14:textId="2B761CED" w:rsidR="000F50E9" w:rsidRDefault="000F50E9" w:rsidP="000F50E9">
      <w:pPr>
        <w:pStyle w:val="Akapitzlist"/>
        <w:numPr>
          <w:ilvl w:val="0"/>
          <w:numId w:val="26"/>
        </w:numPr>
      </w:pPr>
      <w:r>
        <w:t>Procesor współpracuje z ADO przy ocenie ryzyka, ewentualnym zgłoszeniu naruszenia PUODO, informowaniu osób, których dane dotyczą, oraz przy działaniach naprawczych.</w:t>
      </w:r>
    </w:p>
    <w:p w14:paraId="1C7000E1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9. Wsparcie ADO i audyty</w:t>
      </w:r>
    </w:p>
    <w:p w14:paraId="0FDE7003" w14:textId="75767359" w:rsidR="000F50E9" w:rsidRDefault="000F50E9" w:rsidP="000F50E9">
      <w:pPr>
        <w:pStyle w:val="Akapitzlist"/>
        <w:numPr>
          <w:ilvl w:val="0"/>
          <w:numId w:val="27"/>
        </w:numPr>
      </w:pPr>
      <w:r>
        <w:t>Procesor, biorąc pod uwagę charakter przetwarzania, pomaga ADO wywiązać się z obowiązków wynikających z RODO, w szczególności w zakresie realizacji praw osób, prowadzenia DPIA/ocen ryzyka oraz konsultacji z organem nadzorczym.</w:t>
      </w:r>
    </w:p>
    <w:p w14:paraId="637BE660" w14:textId="5B142D5F" w:rsidR="000F50E9" w:rsidRDefault="000F50E9" w:rsidP="000F50E9">
      <w:pPr>
        <w:pStyle w:val="Akapitzlist"/>
        <w:numPr>
          <w:ilvl w:val="0"/>
          <w:numId w:val="27"/>
        </w:numPr>
      </w:pPr>
      <w:r>
        <w:t>ADO ma prawo do przeprowadzenia audytu zgodności przetwarzania danych przez Procesora oraz jego podprzetwarzających, po uprzednim uzgodnieniu terminu (z zachowaniem rozsądnego wyprzedzenia), nie częściej niż raz do roku lub w razie uzasadnionego podejrzenia naruszenia.</w:t>
      </w:r>
    </w:p>
    <w:p w14:paraId="2341CF10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10. Usunięcie lub zwrot danych po zakończeniu przetwarzania</w:t>
      </w:r>
    </w:p>
    <w:p w14:paraId="2EB158A7" w14:textId="16A54120" w:rsidR="000F50E9" w:rsidRDefault="000F50E9" w:rsidP="000F50E9">
      <w:pPr>
        <w:pStyle w:val="Akapitzlist"/>
        <w:numPr>
          <w:ilvl w:val="0"/>
          <w:numId w:val="28"/>
        </w:numPr>
      </w:pPr>
      <w:r>
        <w:t>Po zakończeniu świadczenia usług związanych z przetwarzaniem danych, Procesor – według wyboru ADO – usuwa albo zwraca ADO wszelkie dane osobowe oraz usuwa ich istniejące kopie w terminie 14 dni, chyba że prawo UE lub prawo państwa członkowskiego wymaga ich przechowywania</w:t>
      </w:r>
      <w:r w:rsidR="00FF58A4">
        <w:t xml:space="preserve"> lub wynika to z </w:t>
      </w:r>
      <w:r w:rsidR="00FF58A4" w:rsidRPr="00FF58A4">
        <w:t>Załącznika A/OPZ</w:t>
      </w:r>
      <w:r w:rsidR="00FF58A4">
        <w:t>.</w:t>
      </w:r>
    </w:p>
    <w:p w14:paraId="64A2CF37" w14:textId="615CCF68" w:rsidR="000F50E9" w:rsidRDefault="000F50E9" w:rsidP="000F50E9">
      <w:pPr>
        <w:pStyle w:val="Akapitzlist"/>
        <w:numPr>
          <w:ilvl w:val="0"/>
          <w:numId w:val="28"/>
        </w:numPr>
      </w:pPr>
      <w:r>
        <w:lastRenderedPageBreak/>
        <w:t>Procesor potwierdzi wykonanie obowiązku protokołem przekazanym ADO.</w:t>
      </w:r>
    </w:p>
    <w:p w14:paraId="54F454EF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11. Odpowiedzialność i kary umowne</w:t>
      </w:r>
    </w:p>
    <w:p w14:paraId="3C6B3A81" w14:textId="0AE03976" w:rsidR="000F50E9" w:rsidRDefault="000F50E9" w:rsidP="000F50E9">
      <w:pPr>
        <w:pStyle w:val="Akapitzlist"/>
        <w:numPr>
          <w:ilvl w:val="0"/>
          <w:numId w:val="29"/>
        </w:numPr>
      </w:pPr>
      <w:r>
        <w:t>Naruszenie niniejszej UPP, w tym niewykonanie lub nienależyte wykonanie obowiązków z art. 28 RODO, stanowi istotne naruszenie umowy głównej i może skutkować nałożeniem kar umownych przewidzianych w umowie oraz potrąceniem ich z zabezpieczenia należytego wykonania umowy</w:t>
      </w:r>
      <w:r w:rsidR="00EC6708">
        <w:t>,</w:t>
      </w:r>
      <w:r w:rsidR="00EC6708" w:rsidRPr="00EC6708">
        <w:t xml:space="preserve"> a jeżeli ZNWU nie jest wymagane lub nie zostało wniesione – potrąceniem z należnego wynagrodzenia lub dochodzeniem na zasadach ogólnych.</w:t>
      </w:r>
    </w:p>
    <w:p w14:paraId="78B02CFE" w14:textId="35BCB6F4" w:rsidR="000F50E9" w:rsidRDefault="000F50E9" w:rsidP="000F50E9">
      <w:pPr>
        <w:pStyle w:val="Akapitzlist"/>
        <w:numPr>
          <w:ilvl w:val="0"/>
          <w:numId w:val="29"/>
        </w:numPr>
      </w:pPr>
      <w:r>
        <w:t>Odpowiedzialność Stron określają przepisy prawa powszechnie obowiązującego oraz postanowienia umowy głównej.</w:t>
      </w:r>
    </w:p>
    <w:p w14:paraId="19BB0D14" w14:textId="77777777" w:rsidR="000F50E9" w:rsidRPr="00A716B5" w:rsidRDefault="000F50E9" w:rsidP="000F50E9">
      <w:pPr>
        <w:jc w:val="center"/>
        <w:rPr>
          <w:bCs/>
        </w:rPr>
      </w:pPr>
      <w:r w:rsidRPr="00A716B5">
        <w:rPr>
          <w:bCs/>
        </w:rPr>
        <w:t>§ 12. Postanowienia końcowe</w:t>
      </w:r>
    </w:p>
    <w:p w14:paraId="37F17509" w14:textId="3F5CA67C" w:rsidR="000F50E9" w:rsidRDefault="000F50E9" w:rsidP="000F50E9">
      <w:pPr>
        <w:pStyle w:val="Akapitzlist"/>
        <w:numPr>
          <w:ilvl w:val="0"/>
          <w:numId w:val="30"/>
        </w:numPr>
      </w:pPr>
      <w:r>
        <w:t>W sprawach nieuregulowanych niniejszą UPP zastosowanie mają przepisy RODO oraz krajowych przepisów o ochronie danych osobowych.</w:t>
      </w:r>
    </w:p>
    <w:p w14:paraId="452399A9" w14:textId="6BB7BE75" w:rsidR="000F50E9" w:rsidRDefault="000F50E9" w:rsidP="000F50E9">
      <w:pPr>
        <w:pStyle w:val="Akapitzlist"/>
        <w:numPr>
          <w:ilvl w:val="0"/>
          <w:numId w:val="30"/>
        </w:numPr>
      </w:pPr>
      <w:r>
        <w:t xml:space="preserve">Załączniki stanowią integralną część UPP: Załącznik A (Zakres danych i czynności), Załącznik </w:t>
      </w:r>
      <w:r w:rsidR="007B3B15">
        <w:t>B</w:t>
      </w:r>
      <w:r>
        <w:t xml:space="preserve"> (Podprzetwarzający).</w:t>
      </w:r>
    </w:p>
    <w:p w14:paraId="01CAB580" w14:textId="77777777" w:rsidR="000F50E9" w:rsidRDefault="000F50E9" w:rsidP="000F50E9">
      <w:r>
        <w:t xml:space="preserve">Załącznik A (Zakres danych i czynności), </w:t>
      </w:r>
    </w:p>
    <w:p w14:paraId="58A19F74" w14:textId="1B8BB400" w:rsidR="000F50E9" w:rsidRDefault="000F50E9" w:rsidP="000F50E9">
      <w:r>
        <w:t>Załącznik B (Podprzetwarzający).</w:t>
      </w:r>
    </w:p>
    <w:p w14:paraId="4B6F0893" w14:textId="77777777" w:rsidR="000F50E9" w:rsidRDefault="000F50E9" w:rsidP="000F50E9">
      <w:r>
        <w:rPr>
          <w:b/>
        </w:rPr>
        <w:t>Podpisy Stron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49"/>
        <w:gridCol w:w="4349"/>
      </w:tblGrid>
      <w:tr w:rsidR="000F50E9" w14:paraId="580664E4" w14:textId="77777777" w:rsidTr="004C0BB2">
        <w:trPr>
          <w:trHeight w:val="1157"/>
        </w:trPr>
        <w:tc>
          <w:tcPr>
            <w:tcW w:w="4349" w:type="dxa"/>
          </w:tcPr>
          <w:p w14:paraId="7DA8BB4D" w14:textId="77777777" w:rsidR="000F50E9" w:rsidRPr="00CE5E26" w:rsidRDefault="000F50E9" w:rsidP="004C0BB2">
            <w:pPr>
              <w:rPr>
                <w:b/>
                <w:bCs/>
              </w:rPr>
            </w:pPr>
            <w:r w:rsidRPr="00CE5E26">
              <w:rPr>
                <w:b/>
                <w:bCs/>
              </w:rPr>
              <w:t>Administrator (ADO)</w:t>
            </w:r>
            <w:r w:rsidRPr="00CE5E26">
              <w:rPr>
                <w:b/>
                <w:bCs/>
              </w:rPr>
              <w:br/>
            </w:r>
            <w:r w:rsidRPr="00CE5E26">
              <w:rPr>
                <w:b/>
                <w:bCs/>
              </w:rPr>
              <w:br/>
              <w:t>.............................................</w:t>
            </w:r>
            <w:r w:rsidRPr="00CE5E26">
              <w:rPr>
                <w:b/>
                <w:bCs/>
              </w:rPr>
              <w:br/>
            </w:r>
          </w:p>
        </w:tc>
        <w:tc>
          <w:tcPr>
            <w:tcW w:w="4349" w:type="dxa"/>
          </w:tcPr>
          <w:p w14:paraId="4D267940" w14:textId="77777777" w:rsidR="000F50E9" w:rsidRDefault="000F50E9" w:rsidP="004C0BB2">
            <w:r>
              <w:t>Procesor (Wykonawca)</w:t>
            </w:r>
            <w:r>
              <w:br/>
            </w:r>
            <w:r>
              <w:br/>
              <w:t>.............................................</w:t>
            </w:r>
          </w:p>
        </w:tc>
      </w:tr>
    </w:tbl>
    <w:p w14:paraId="0859541A" w14:textId="77777777" w:rsidR="000F50E9" w:rsidRDefault="000F50E9" w:rsidP="000F50E9">
      <w:pPr>
        <w:pStyle w:val="NormalnyWeb1"/>
        <w:spacing w:before="0" w:after="0"/>
        <w:jc w:val="both"/>
        <w:rPr>
          <w:rFonts w:ascii="Calibri" w:hAnsi="Calibri" w:cs="Calibri"/>
          <w:sz w:val="22"/>
          <w:szCs w:val="22"/>
        </w:rPr>
      </w:pPr>
    </w:p>
    <w:p w14:paraId="7BA8D3F2" w14:textId="77777777" w:rsidR="00941164" w:rsidRDefault="00941164" w:rsidP="000F50E9">
      <w:pPr>
        <w:spacing w:after="0"/>
        <w:jc w:val="both"/>
        <w:rPr>
          <w:rFonts w:cs="Calibri"/>
        </w:rPr>
      </w:pPr>
    </w:p>
    <w:sectPr w:rsidR="00941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BEC5" w14:textId="77777777" w:rsidR="00ED0C9A" w:rsidRDefault="00ED0C9A">
      <w:pPr>
        <w:spacing w:after="0" w:line="240" w:lineRule="auto"/>
      </w:pPr>
      <w:r>
        <w:separator/>
      </w:r>
    </w:p>
  </w:endnote>
  <w:endnote w:type="continuationSeparator" w:id="0">
    <w:p w14:paraId="38FB0194" w14:textId="77777777" w:rsidR="00ED0C9A" w:rsidRDefault="00E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15D6" w14:textId="77777777" w:rsidR="000D0B00" w:rsidRDefault="000D0B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4B92" w14:textId="77777777" w:rsidR="00941164" w:rsidRDefault="0094116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871C" w14:textId="77777777" w:rsidR="00941164" w:rsidRDefault="009411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C8DB" w14:textId="77777777" w:rsidR="00ED0C9A" w:rsidRDefault="00ED0C9A">
      <w:pPr>
        <w:spacing w:after="0" w:line="240" w:lineRule="auto"/>
      </w:pPr>
      <w:r>
        <w:separator/>
      </w:r>
    </w:p>
  </w:footnote>
  <w:footnote w:type="continuationSeparator" w:id="0">
    <w:p w14:paraId="0F289EF5" w14:textId="77777777" w:rsidR="00ED0C9A" w:rsidRDefault="00ED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C58F" w14:textId="77777777" w:rsidR="000D0B00" w:rsidRDefault="000D0B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C3333A" w14:paraId="6EFA215C" w14:textId="77777777" w:rsidTr="00F66CB7">
      <w:tc>
        <w:tcPr>
          <w:tcW w:w="3623" w:type="dxa"/>
          <w:vAlign w:val="center"/>
        </w:tcPr>
        <w:p w14:paraId="4D2BC603" w14:textId="77777777" w:rsidR="00C3333A" w:rsidRDefault="00C3333A" w:rsidP="00C3333A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7B1B0062" wp14:editId="55EAB9EB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3583456" w14:textId="1044D0C7" w:rsidR="00C3333A" w:rsidRDefault="00C3333A" w:rsidP="00C3333A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09DC9984" w14:textId="77777777" w:rsidR="00C3333A" w:rsidRDefault="00C3333A" w:rsidP="00C3333A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28EB5233" wp14:editId="66BD4298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CDEC069" w14:textId="77777777" w:rsidR="00941164" w:rsidRPr="00C3333A" w:rsidRDefault="00C3333A" w:rsidP="00C3333A">
    <w:pPr>
      <w:pStyle w:val="Nagwek"/>
    </w:pPr>
    <w:r>
      <w:rPr>
        <w:noProof/>
      </w:rPr>
      <w:drawing>
        <wp:anchor distT="0" distB="0" distL="0" distR="0" simplePos="0" relativeHeight="251660288" behindDoc="1" locked="0" layoutInCell="0" allowOverlap="1" wp14:anchorId="05B0B9C8" wp14:editId="67D3EB18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753"/>
      <w:gridCol w:w="2249"/>
      <w:gridCol w:w="3070"/>
    </w:tblGrid>
    <w:tr w:rsidR="00941164" w14:paraId="44B9181E" w14:textId="77777777">
      <w:tc>
        <w:tcPr>
          <w:tcW w:w="3753" w:type="dxa"/>
          <w:vAlign w:val="center"/>
        </w:tcPr>
        <w:p w14:paraId="41F903C5" w14:textId="77777777" w:rsidR="00941164" w:rsidRDefault="00F3232F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7EEF5D3" wp14:editId="35596E07">
                <wp:extent cx="2247900" cy="714375"/>
                <wp:effectExtent l="0" t="0" r="0" b="0"/>
                <wp:docPr id="4" name="Obraz 11" descr="Obraz zawierający tekst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11" descr="Obraz zawierający tekst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9" w:type="dxa"/>
          <w:vAlign w:val="center"/>
        </w:tcPr>
        <w:p w14:paraId="091285C5" w14:textId="77777777" w:rsidR="00941164" w:rsidRDefault="00941164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070" w:type="dxa"/>
          <w:vAlign w:val="center"/>
        </w:tcPr>
        <w:p w14:paraId="26A28AF1" w14:textId="77777777" w:rsidR="00941164" w:rsidRDefault="00F3232F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42DEDC3B" wp14:editId="7AB3AD87">
                <wp:extent cx="1800225" cy="476885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476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BDF0534" w14:textId="77777777" w:rsidR="00941164" w:rsidRDefault="00F3232F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5A151C09" wp14:editId="76E1792E">
          <wp:simplePos x="0" y="0"/>
          <wp:positionH relativeFrom="column">
            <wp:posOffset>-170815</wp:posOffset>
          </wp:positionH>
          <wp:positionV relativeFrom="paragraph">
            <wp:posOffset>8593455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D27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8015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C02D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6228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74815"/>
    <w:multiLevelType w:val="multilevel"/>
    <w:tmpl w:val="2CD0B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5A72814"/>
    <w:multiLevelType w:val="multilevel"/>
    <w:tmpl w:val="81CCF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6ED121F"/>
    <w:multiLevelType w:val="hybridMultilevel"/>
    <w:tmpl w:val="D4B23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D15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A00B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4C3156"/>
    <w:multiLevelType w:val="multilevel"/>
    <w:tmpl w:val="016AA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6400397"/>
    <w:multiLevelType w:val="multilevel"/>
    <w:tmpl w:val="AE1850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7C70C47"/>
    <w:multiLevelType w:val="multilevel"/>
    <w:tmpl w:val="7A326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BEF098B"/>
    <w:multiLevelType w:val="multilevel"/>
    <w:tmpl w:val="858CC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CB4B46"/>
    <w:multiLevelType w:val="multilevel"/>
    <w:tmpl w:val="F7924B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3641711"/>
    <w:multiLevelType w:val="multilevel"/>
    <w:tmpl w:val="50AC70C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44151A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7C6F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E81E69"/>
    <w:multiLevelType w:val="multilevel"/>
    <w:tmpl w:val="C3460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6B22B73"/>
    <w:multiLevelType w:val="hybridMultilevel"/>
    <w:tmpl w:val="1D36F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92EE7"/>
    <w:multiLevelType w:val="multilevel"/>
    <w:tmpl w:val="280CD6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4EE54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C63DC1"/>
    <w:multiLevelType w:val="multilevel"/>
    <w:tmpl w:val="A8E2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E8000E7"/>
    <w:multiLevelType w:val="multilevel"/>
    <w:tmpl w:val="903001D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14836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6D04FE"/>
    <w:multiLevelType w:val="hybridMultilevel"/>
    <w:tmpl w:val="8018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77A80"/>
    <w:multiLevelType w:val="multilevel"/>
    <w:tmpl w:val="B43A980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7824524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BE26732"/>
    <w:multiLevelType w:val="multilevel"/>
    <w:tmpl w:val="771AC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D8B159A"/>
    <w:multiLevelType w:val="hybridMultilevel"/>
    <w:tmpl w:val="E5FC9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601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8750177">
    <w:abstractNumId w:val="9"/>
  </w:num>
  <w:num w:numId="2" w16cid:durableId="1854606930">
    <w:abstractNumId w:val="11"/>
  </w:num>
  <w:num w:numId="3" w16cid:durableId="1087732847">
    <w:abstractNumId w:val="17"/>
  </w:num>
  <w:num w:numId="4" w16cid:durableId="2021810834">
    <w:abstractNumId w:val="10"/>
  </w:num>
  <w:num w:numId="5" w16cid:durableId="279535312">
    <w:abstractNumId w:val="27"/>
  </w:num>
  <w:num w:numId="6" w16cid:durableId="2084252982">
    <w:abstractNumId w:val="19"/>
  </w:num>
  <w:num w:numId="7" w16cid:durableId="1876850613">
    <w:abstractNumId w:val="13"/>
  </w:num>
  <w:num w:numId="8" w16cid:durableId="329990230">
    <w:abstractNumId w:val="21"/>
  </w:num>
  <w:num w:numId="9" w16cid:durableId="509493388">
    <w:abstractNumId w:val="4"/>
  </w:num>
  <w:num w:numId="10" w16cid:durableId="480922669">
    <w:abstractNumId w:val="12"/>
  </w:num>
  <w:num w:numId="11" w16cid:durableId="1712027377">
    <w:abstractNumId w:val="22"/>
  </w:num>
  <w:num w:numId="12" w16cid:durableId="1036127826">
    <w:abstractNumId w:val="14"/>
  </w:num>
  <w:num w:numId="13" w16cid:durableId="1944456508">
    <w:abstractNumId w:val="25"/>
  </w:num>
  <w:num w:numId="14" w16cid:durableId="866452547">
    <w:abstractNumId w:val="5"/>
  </w:num>
  <w:num w:numId="15" w16cid:durableId="392385664">
    <w:abstractNumId w:val="28"/>
  </w:num>
  <w:num w:numId="16" w16cid:durableId="1323896440">
    <w:abstractNumId w:val="18"/>
  </w:num>
  <w:num w:numId="17" w16cid:durableId="883565448">
    <w:abstractNumId w:val="24"/>
  </w:num>
  <w:num w:numId="18" w16cid:durableId="1629704264">
    <w:abstractNumId w:val="8"/>
  </w:num>
  <w:num w:numId="19" w16cid:durableId="1649288125">
    <w:abstractNumId w:val="3"/>
  </w:num>
  <w:num w:numId="20" w16cid:durableId="1999460737">
    <w:abstractNumId w:val="23"/>
  </w:num>
  <w:num w:numId="21" w16cid:durableId="117342007">
    <w:abstractNumId w:val="7"/>
  </w:num>
  <w:num w:numId="22" w16cid:durableId="1361391883">
    <w:abstractNumId w:val="6"/>
  </w:num>
  <w:num w:numId="23" w16cid:durableId="297540105">
    <w:abstractNumId w:val="29"/>
  </w:num>
  <w:num w:numId="24" w16cid:durableId="1291277290">
    <w:abstractNumId w:val="26"/>
  </w:num>
  <w:num w:numId="25" w16cid:durableId="322705424">
    <w:abstractNumId w:val="16"/>
  </w:num>
  <w:num w:numId="26" w16cid:durableId="1968200958">
    <w:abstractNumId w:val="15"/>
  </w:num>
  <w:num w:numId="27" w16cid:durableId="601573333">
    <w:abstractNumId w:val="0"/>
  </w:num>
  <w:num w:numId="28" w16cid:durableId="2036030630">
    <w:abstractNumId w:val="2"/>
  </w:num>
  <w:num w:numId="29" w16cid:durableId="1076168620">
    <w:abstractNumId w:val="1"/>
  </w:num>
  <w:num w:numId="30" w16cid:durableId="13726545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64"/>
    <w:rsid w:val="0000542A"/>
    <w:rsid w:val="0005618C"/>
    <w:rsid w:val="0007241C"/>
    <w:rsid w:val="00092B7D"/>
    <w:rsid w:val="000A2044"/>
    <w:rsid w:val="000B1C1A"/>
    <w:rsid w:val="000D0B00"/>
    <w:rsid w:val="000F50E9"/>
    <w:rsid w:val="001247E5"/>
    <w:rsid w:val="00180A37"/>
    <w:rsid w:val="001F54C9"/>
    <w:rsid w:val="00215198"/>
    <w:rsid w:val="0024677F"/>
    <w:rsid w:val="00254B7F"/>
    <w:rsid w:val="002A0FF9"/>
    <w:rsid w:val="002A659A"/>
    <w:rsid w:val="002B11C3"/>
    <w:rsid w:val="002C38AF"/>
    <w:rsid w:val="00314725"/>
    <w:rsid w:val="0034335E"/>
    <w:rsid w:val="00351E63"/>
    <w:rsid w:val="00387EA4"/>
    <w:rsid w:val="003C4C43"/>
    <w:rsid w:val="003D0FAF"/>
    <w:rsid w:val="0040020A"/>
    <w:rsid w:val="00401661"/>
    <w:rsid w:val="00404D82"/>
    <w:rsid w:val="00417D37"/>
    <w:rsid w:val="004224E7"/>
    <w:rsid w:val="004844C8"/>
    <w:rsid w:val="004A2913"/>
    <w:rsid w:val="00500B6F"/>
    <w:rsid w:val="005526CA"/>
    <w:rsid w:val="005F54ED"/>
    <w:rsid w:val="00620379"/>
    <w:rsid w:val="006441BF"/>
    <w:rsid w:val="00654D3D"/>
    <w:rsid w:val="006B2D67"/>
    <w:rsid w:val="006C7584"/>
    <w:rsid w:val="00714A40"/>
    <w:rsid w:val="00730DA1"/>
    <w:rsid w:val="007325A8"/>
    <w:rsid w:val="00773EA1"/>
    <w:rsid w:val="007B3B15"/>
    <w:rsid w:val="007B5F57"/>
    <w:rsid w:val="007F2613"/>
    <w:rsid w:val="008450CC"/>
    <w:rsid w:val="008643E0"/>
    <w:rsid w:val="00875FB5"/>
    <w:rsid w:val="00897050"/>
    <w:rsid w:val="00904F24"/>
    <w:rsid w:val="00941164"/>
    <w:rsid w:val="009C497D"/>
    <w:rsid w:val="00A17CD2"/>
    <w:rsid w:val="00A3632B"/>
    <w:rsid w:val="00A61015"/>
    <w:rsid w:val="00A716B5"/>
    <w:rsid w:val="00AF2E40"/>
    <w:rsid w:val="00AF3966"/>
    <w:rsid w:val="00B26491"/>
    <w:rsid w:val="00B316D5"/>
    <w:rsid w:val="00B80134"/>
    <w:rsid w:val="00B83E50"/>
    <w:rsid w:val="00BA6967"/>
    <w:rsid w:val="00BB5879"/>
    <w:rsid w:val="00C3333A"/>
    <w:rsid w:val="00C50C5C"/>
    <w:rsid w:val="00C52A1F"/>
    <w:rsid w:val="00C65BDD"/>
    <w:rsid w:val="00C81A32"/>
    <w:rsid w:val="00CE5E26"/>
    <w:rsid w:val="00CE7A9E"/>
    <w:rsid w:val="00CE7D50"/>
    <w:rsid w:val="00D54E97"/>
    <w:rsid w:val="00D80329"/>
    <w:rsid w:val="00D90971"/>
    <w:rsid w:val="00DA4FBF"/>
    <w:rsid w:val="00DA5940"/>
    <w:rsid w:val="00DD18EC"/>
    <w:rsid w:val="00E56020"/>
    <w:rsid w:val="00E7060B"/>
    <w:rsid w:val="00EC6708"/>
    <w:rsid w:val="00ED0C9A"/>
    <w:rsid w:val="00EE7F15"/>
    <w:rsid w:val="00EF0165"/>
    <w:rsid w:val="00F07977"/>
    <w:rsid w:val="00F12362"/>
    <w:rsid w:val="00F252EF"/>
    <w:rsid w:val="00F3232F"/>
    <w:rsid w:val="00F81DBC"/>
    <w:rsid w:val="00F92164"/>
    <w:rsid w:val="00FA1567"/>
    <w:rsid w:val="00FB2FC8"/>
    <w:rsid w:val="00FC3364"/>
    <w:rsid w:val="00FF376A"/>
    <w:rsid w:val="00FF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BCA40"/>
  <w15:docId w15:val="{B9A93BCB-6759-4645-83EA-91E9C4F7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4335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C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CD2"/>
    <w:rPr>
      <w:rFonts w:ascii="Calibri" w:eastAsia="Lucida Sans Unicode" w:hAnsi="Calibri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CD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1F54C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54C9"/>
    <w:rPr>
      <w:b/>
      <w:bCs/>
    </w:rPr>
  </w:style>
  <w:style w:type="table" w:styleId="Siatkatabelijasna">
    <w:name w:val="Grid Table Light"/>
    <w:basedOn w:val="Standardowy"/>
    <w:uiPriority w:val="40"/>
    <w:rsid w:val="007B5F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7B5F5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6310-5B35-455C-B36F-3625E464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1347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27</cp:revision>
  <cp:lastPrinted>2025-02-25T12:00:00Z</cp:lastPrinted>
  <dcterms:created xsi:type="dcterms:W3CDTF">2025-10-02T18:49:00Z</dcterms:created>
  <dcterms:modified xsi:type="dcterms:W3CDTF">2026-03-20T13:16:00Z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